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296</w:t>
      </w:r>
    </w:p>
    <w:p>
      <w:r>
        <w:t>Bundesgericht (BGE), 1995-11-03, FR</w:t>
      </w:r>
    </w:p>
    <w:p>
      <w:r>
        <w:rPr>
          <w:b/>
        </w:rPr>
        <w:t xml:space="preserve">Quelle: </w:t>
      </w:r>
      <w:r>
        <w:t>https://mcp.opencaselaw.ch/entscheid/bge_121 II 296</w:t>
      </w:r>
    </w:p>
    <w:p>
      <w:r>
        <w:t>FR: ATF 121 II 296</w:t>
      </w:r>
    </w:p>
    <w:p>
      <w:r>
        <w:t>IT: DTF 121 II 296</w:t>
      </w:r>
    </w:p>
    <w:p>
      <w:pPr>
        <w:pStyle w:val="Heading2"/>
      </w:pPr>
      <w:r>
        <w:t>Regeste</w:t>
      </w:r>
    </w:p>
    <w:p>
      <w:r>
        <w:t>Regeste Auslieferung an die Vereinigten Staaten von Amerika; Art. 3 und Art. 6 EMRK. Verweigerung der Auslieferung wegen der Gefahr einer gegen den internationalen Ordre public verstossenden Behandlung im ersuchenden Staat (E. 3). Weder die Dauer der Freiheitsstrafe noch die Art und Weise von deren Festsetzung stehen im vorliegenden Fall einer Auslieferung entgegen (E. 4). Der Vollzug einer lebenslangen Freiheitsstrafe verletzt Art. 3 EMRK selbst bei fehlender Möglichkeit einer bedingten Entlassung nicht (E. 5).</w:t>
      </w:r>
    </w:p>
    <w:p>
      <w:pPr>
        <w:pStyle w:val="Heading2"/>
      </w:pPr>
      <w:r>
        <w:t>Erwägungen</w:t>
      </w:r>
    </w:p>
    <w:p>
      <w:r>
        <w:rPr>
          <w:b/>
        </w:rPr>
        <w:t>E. 3</w:t>
      </w:r>
    </w:p>
    <w:p>
      <w:r>
        <w:t>a) Selon l' art. 3 CEDH , nul ne peut être soumis à la torture ni à des peines ou traitements inhumains ou dégradants. L'art. 7 du Pacte international du 16 décembre 1966 relatif aux droits civils et politiques, ratifié par la Suisse et les Etats-Unis respectivement les 8 et 18 juin 1992 (RO 1993 I 750), est de même teneur; en vertu d'une réserve expresse (RO 1993 I 783) les Etats-Unis ne se considèrent liés par cette disposition que pour autant que l'expression "peines ou traitement inhumains ou dégradants" s'entend des traitements ou peines cruels et inaccoutumés interdits par les Cinquième, Huitième et Quatorzième Amendements de la Constitution des Etats-Unis. Selon l'art. 10 de ce Pacte, le régime pénitentiaire doit comporter un traitement des condamnés dont le but essentiel est leur amendement et le reclassement social; en vertu de la même réserve (RO 1993 I 784), les Etats-Unis ont déclaré que cette disposition ne remettait pas en cause les buts de répression, de dissuasion et de neutralisation en tant qu'objectifs complémentaires légitimes de tout système pénitentiaire. Par ailleurs, l'art. 3 de la Convention du 10 décembre 1984 contre la torture et autres peines ou traitements cruels, inhumains ou dégradants, ratifiée par la Suisse le 2 décembre 1986 et entrée en vigueur le 26 juin 1987 (RS 0.105), interdit l'expulsion ou l'extradition d'une personne vers un Etat où elle risque d'être torturée; la notion de torture au sens de cette convention ne s'étend toutefois pas à la douleur ou la souffrance résultant uniquement de sanctions légitimes, inhérentes à ces sanctions ou occasionnées par elles (art. 2 al. 1 in fine). Cette convention n'a pas été ratifiée par les Etats-Unis. b) Le Traité d'extradition conclu le 14 mai 1900 entre les Etats-Unis d'Amérique et la Suisse (RS 0.353.933.6; ci-après: le traité) ne se réfère pas aux principes énoncés dans les instruments internationaux relatifs à la protection des droits de l'homme; on peut donc se demander si ces BGE 121 II 296 S. 299 dispositions de droit international sont aussi applicables aux relations extraditionnelles avec les Etats-Unis et permettraient à la Suisse de refuser une extradition pour un motif non prévu par le Traité. L' art. 2 let. a EIMP (RS 351.1) réserve le cas où la procédure à l'étranger n'est pas conforme aux principes de procédure fixés dans la CEDH mais, en tant que norme de droit interne sans équivalent en droit conventionnel, cette réserve n'est pas directement applicable, en tant que telle, aux relations extraditionnelles régies par le Traité. Cela étant, un Etat signataire de la CEDH irait à l'encontre des buts fixés par la Convention en remettant consciemment une personne à un Etat où il existe des motifs sérieux de penser qu'un risque de traitement inhumain ou dégradant menace l'intéressé (ACEDH du 7 juillet 1989 dans la cause Soering, série A vol. 161 par. 87). Aussi l'extradition a-t-elle déjà été refusée par la Suisse en application de règles impératives du droit international (cf. ATF 109 Ib 64 consid. 6b/aa p. 72, ATF 108 Ib 408 consid. 8a p. 410). D'un autre côté, la CEDH elle-même tend à assurer un juste équilibre entre l'intérêt général de la collectivité et les impératifs de la sauvegarde des droits fondamentaux, en tenant compte de l'intérêt à voir traduire en justice les délinquants présumés qui fuient à l'étranger et en évitant la création de havres de sécurité pour ces fugitifs, qui saperaient les fondements de l'extradition (ACEDH Soering précité). c) En définitive, la question de savoir dans quelle mesure chacune des dispositions conventionnelles invoquées par le recourant constituerait, sous ses différents aspects, un principe général du droit des gens au sens de l'art. 53 de la Convention de Vienne du 23 mai 1969 sur le droit des Traités (RS 0.111), et pourrait, en tant que norme d'ordre public international, motiver un refus de l'extradition (cf. ATF 120 Ib 189 consid. 2b p. 191 et les arrêts cités), peut demeurer indécise; en effet, les conditions d'un tel refus ne sont pas réalisées en l'espèce.</w:t>
      </w:r>
    </w:p>
    <w:p>
      <w:r>
        <w:rPr>
          <w:b/>
        </w:rPr>
        <w:t>E. 4</w:t>
      </w:r>
    </w:p>
    <w:p>
      <w:r>
        <w:t>a) La durée de la peine n'apparaît pas en soi comme un motif (d'ordre public international) pour s'opposer à l'extradition; aucun des instruments internationaux dont se prévaut le recourant n'interdit une peine de réclusion à vie (décision de la CommEDH du 6 mai 1978, citée par VELU/ERGEC, La Convention européenne des droits de l'homme, Bruxelles 1990, p. 207). La sévérité particulière dont ferait preuve l'Etat requérant en matière de stupéfiants ne saurait constituer une violation des droits de l'homme. Dans le cadre d'une procédure d'extradition, la Suisse n'a pas en principe à émettre des considérations sur la manière dont l'Etat requérant envisage sa politique criminelle. On peut certes se demander si, comme le BGE 121 II 296 S. 300 soutient le recourant (qui se fonde sur une décision rendue par les autorités canadiennes, laquelle ne saurait lier le juge suisse de l'extradition), une peine manifestement exagérée, sans commune mesure avec l'acte reproché, pourrait se révéler incompatible avec l' art. 3 CEDH (cf. ACEDH du 2 mars 1987 dans la cause Weeks, série A vol. 114 par. 47). La question souffre de demeurer indécise car, compte tenu de l'importance des faits reprochés au recourant, en particulier de la quantité de drogue importée, la peine encourue n'apparaît pas disproportionnée au point de constituer en soi une violation des droits de l'homme. b) Le recourant soutient que, dans le système américain, la fixation de la peine se ferait de manière automatique, selon un barème fixé d'avance, ne laissant aucune marge d'appréciation au juge et sans tenir compte de la situation personnelle de l'accusé. Le recourant se prévaut toutefois en vain de l' art. 6 par. 3 CEDH car, contrairement à ce qu'il soutient, cette disposition conventionnelle s'adresse à l'autorité judiciaire, et ne s'applique pas à la réglementation relative à la fixation et la quotité de la peine (arrêt non publié du 27 décembre 1994 en la cause A./consid. 7).</w:t>
      </w:r>
    </w:p>
    <w:p>
      <w:r>
        <w:rPr>
          <w:b/>
        </w:rPr>
        <w:t>E. 5</w:t>
      </w:r>
    </w:p>
    <w:p>
      <w:r>
        <w:t>Principalement, le recourant soutient que l'exécution de la réclusion à vie sans possibilité d'une libération conditionnelle violerait l' art. 3 CEDH . a) Il se réfère principalement à l'arrêt Soering précité, aux termes duquel l'extradition vers un pays en vue de l'exécution d'une peine de mort violait en l'espèce l' art. 3 CEDH , en raison non de la peine elle-même, mais de la dégradation psychologique provoquée par la perspective de l'exécution (syndrome du "couloir de la mort"). Le recourant évoque aussi le rapport général sur le traitement des détenus de longue durée du Sous-comité no XXV du Conseil de l'Europe. Selon ce dernier, tout détenu doit se voir accorder - sous réserve du danger qu'il peut représenter, notamment du risque de récidive - une libération conditionnelle (Comité européen pour les problèmes criminels, Traitement des détenus en détention de longue durée, Strasbourg 1977, par. 61). A propos des condamnés à perpétuité, le Sous-comité estime qu'il est "inhumain d'emprisonner une personne à vie sans lui laisser aucun espoir de libération... Personne ne devrait être privé de la possibilité d'une libération éventuelle". Dans sa résolution (76) 2 sur le traitement des détenus en détention de longue durée, le Comité des Ministres du Conseil de l'Europe recommande aux Gouvernements de s'assurer que les cas de tous les détenus seront examinés aussitôt que BGE 121 II 296 S. 301 possible pour voir si une libération conditionnelle peut leur être accordée (ch. 9), d'accorder la libération conditionnelle après un certain délai dès qu'un pronostic favorable peut être formulé (ch. 10), et de s'assurer que pour la détention à vie cet examen ait lieu au plus tard après huit à quatorze ans, et soit répété périodiquement (ch. 12). Les recommandations de ce type n'ont toutefois pas force légale, même dans les Etats membres du Conseil de l'Europe; elles ne sauraient non plus être sans autre interprétées comme l'expression d'une conscience juridique universelle ayant valeur de "jus cogens" international ( ATF 118 Ia 64 consid. 2a p. 69; VELU/ERGEC, op.cit. p. 198), de sorte que leur non respect n'implique pas forcément une violation de l' art. 3 CEDH (cf. aussi décision de la CommEDH du 11 décembre 1976 dans la cause Eggs). aa) Selon la jurisprudence des organes de Strasbourg, un traitement doit, pour tomber sous le coup de l' art. 3 CEDH , atteindre un minimum de gravité, les notions de traitements dégradants, inhumains et de torture allant dans un ordre croissant suivant l'intensité des souffrances infligées. L'appréciation de ce minimum dépend des circonstances de la cause, notamment de la nature et du contexte du traitement, de sa durée, de ses effets physiques et mentaux, voire du sexe, de l'âge et de l'état de santé de l'intéressé (ACEDH Costello-Roberts, du 25 mars 1993, série A vol. 247-C, par. 30). Tel peut être le cas d'un traitement propre à causer sinon de véritables lésions, du moins de vives souffrances physiques ou morales, de nature à créer des sentiments humiliants de peur, d'angoisse et d'infériorité, et à briser éventuellement la résistance physique ou morale (arrêt Soering précité, par. 100 et la jurisprudence citée). La notion de traitement dégradant, à l'instar de la torture et des traitements inhumains, ne suppose pas nécessairement un élément intentionnel de la part de leur auteur (VELU/ERGEC, op.cit. p. 200). bb) L'exécution d'une condamnation à la réclusion à vie, même sans possibilité de libération conditionnelle, est sans commune mesure avec le traitement dénoncé dans l'affaire Soering. Dans ce dernier arrêt, la Cour européenne a relevé que la peine de mort n'est pas en soi un châtiment contraire aux art. 2 et 3 CEDH , et qu'une telle sanction pourrait, le cas échéant, donner lieu à extradition (sous réserve du protocole no 6 à la Convention); seules la durée et les conditions de la détention en attente de l'exécution paraissaient contraires à la Convention. Or, comme cela a été relevé ci-dessus (consid. 3a), la condamnation à l'emprisonnement à vie qu'encourt le recourant ne violerait pas la Convention (décision de la BGE 121 II 296 S. 302 CommEDH du 6 mai 1978 cité in VELU/ERGEC, op.cit. p. 207); cette dernière ne donne d'ailleurs aucun droit à une suspension de l'exécution d'une peine (décision de la CommEDH du 9 mars 1994 en la cause Z. et les décisions citées). La perspective d'une incarcération à vie sans possibilité d'élargissement peut certainement entraîner pour le condamné des souffrances morales importantes. Celles-ci ne vont toutefois pas au-delà de ce qu'implique inévitablement l'exécution d'une peine légitime (ACEDH du 25 avril 1978 dans la cause Tyrer, série A no 26 par. 29-30). Ne dépassant pas le seuil fixé par l' art. 3 CEDH , la peine susceptible d'être infligée au recourant ne saurait donc constituer un traitement inhumain ou dégradant. L'argumentation du recourant doit être écartée pour ce motif déjà; elle doit l'être également parce que les craintes du recourant quant à la peine susceptible de lui être infligée apparaissent sans fondement. b) A la requête du Tribunal fédéral, l'Etat requérant a été interpellé et invité à faire savoir si une peine incompressible de réclusion à vie était la seule peine susceptible d'être prononcée en cas de condamnation, quelles seraient les possibilités de l'atténuer et les modalités de son exécution. aa) La prise de position du 18 août 1995 émane du chef de la Brigade spéciale des stupéfiants de la région des Montagnes Rocheuses du Ministère de la Justice des Etats-Unis, Procureur principal dans la cause dirigée contre X. Ce magistrat confirme l'avis de droit produit par le recourant quant à l'exposé des principes régissant la fixation de la peine, mais il en conteste les conclusions dans le cas particulier, estimant qu'elles reposent sur des hypothèses théoriques. Il relève en particulier les points suivants. Il n'est pas certain que le recourant pourra être reconnu coupable de tous les chefs d'accusation, lesquels font l'objet d'un examen séparé et doivent chacun faire l'objet d'un avis de culpabilité unanime du jury. Lorsque le délit de blanchiment se trouve, comme dans le cas de X., en étroite connexité avec le délit de trafic de drogue, il n'y aurait pas lieu d'augmenter le niveau de peine relatif à ce dernier; le niveau global resterait donc 42, ce qui impliquerait une peine de prison située entre 360 mois et la prison à vie. En plaidant coupable, l'intéressé pourrait obtenir une réduction de trois niveaux, et encourir entre 262 et 327 mois de prison. Le condamné bénéficie par ailleurs d'un crédit de 54 jours par année après la première année de prison; sur une peine de 360 mois de prison, il pourrait être remis en liberté après 25,6 ans. La durée de la BGE 121 II 296 S. 303 détention extraditionnelle en Suisse serait aussi déduite. Le magistrat relève encore qu'une réduction considérable de la peine pourrait aussi être obtenue en collaborant avec la justice; il cite le cas d'un coaccusé qui aurait décidé de plaider coupable et de coopérer avec la justice, et qui aurait été condamné à une peine de 20 ans de prison malgré une accusation supplémentaire. Le Gouvernement aurait offert à X. de recommander une peine de 25 ans de prison s'il acceptait de revenir de son plein gré aux Etats-Unis et s'il plaidait coupable, offre que le recourant a apparemment rejetée. Le magistrat relève enfin les possibilités de réhabilitation dont bénéficie tout condamné, et les conditions de détention favorables. Il en conclut que les règles relatives à la fixation de la peine ne doivent pas être interprétées de manière rigide, le recourant ayant la possibilité, s'il était reconnu coupable, de réduire sa peine de manière substantielle en fonction de l'attitude qu'il entend adopter dans la procédure. bb) Le recourant met en cause l'indépendance, l'impartialité et les compétence du Procureur. Il relève que la pratique du "plea bargain", en soi critiquable, ne devrait pas être prise en compte. S'appuyant sur un nouvel avis de son expert américain, il conteste - en se référant à des décisions judiciaires - que l'infraction de blanchiment puisse être "absorbée" par celles relatives au trafic de stupéfiants, de sorte que le niveau de peine encouru serait bien 43 (en cas de condamnation pour un seul des chefs d'accusation relatifs à l'un et à l'autre types d'infractions), ce qui implique la réclusion à vie sans libération possible. cc) Selon la jurisprudence, c'est en premier lieu à l'autorité requérante qu'il convient de se référer pour l'interprétation du droit étranger. Il n'y a pas en principe à lui préférer une expertise privée ( ATF 117 Ib 64 consid. 5f p. 91-92). En l'espèce, le Procureur a répondu aux questions posées au nom de l'Etat requérant. Magistrat depuis 1977, il expose avoir représenté le Gouvernement, depuis l'entrée en vigueur des "Federal Sentencing Guidelines", pour la détermination des peines de prison dans plus de 300 procédures se rapportant à des infractions à la réglementation sur les stupéfiants. Rien ne permet de mettre en doute ses connaissances dans ce domaine. Procureur principal dans la procédure dirigée contre X. qu'il suit depuis quatre ans, et auteur de la "déposition à l'appui de la demande d'extradition", il apparaît manifestement comme une personne particulièrement apte à évaluer la peine susceptible d'être prononcée dans le cas présent. En dépit de son rôle d'accusateur, on ne saurait mettre en BGE 121 II 296 S. 304 cause son impartialité: les questions posées ne se rapportaient pas à la culpabilité du recourant, mais seulement à l'interprétation des normes relatives à la fixation de la peine. Cela étant, il convient de préférer, à l'expertise privée du recourant, l'opinion officielle exprimée par l'Etat requérant. Or, selon cet avis, les règles relatives à la fixation de la peine sont appliquées avec moins de rigidité que ne le prétend le recourant. Supposé coupable d'une ou de plusieurs infractions en rapport avec le trafic de stupéfiants et, simultanément, d'une infraction de blanchiment d'argent, le recourant n'encourrait pas forcément la prison à vie (niveau de peine 43), mais une peine située entre 360 mois et la perpétuité (niveau 42). De nombreux facteurs viendraient, dans ce cas, atténuer la peine, notamment le "crédit" de 54 jours par année accordé après la première année; le recourant a aussi la possibilité de plaider coupable pour bénéficier d'une réduction de trois "niveaux". La pratique du "plea bargain" n'est certes pas dans les conceptions de la procédure pénale suisse, mais cela ne suffit pas pour en faire abstraction - en tant que simple indication de fait - dans l'estimation de la peine concrètement encourue dans l'Etat requérant. Compte tenu des explications qui précèdent, on ne saurait partager les craintes du recourant de se voir condamner à une peine incompressible de réclusion à vie. Il convient enfin de relever que le recourant ne prétend pas que la manière dont serait exécutée sa peine contreviendrait à l' art. 3 CEDH . A ce sujet, on peut également se référer à l'opinion de l'Etat requérant au sujet des conditions de détention favorables et des possibilités de réhabilitation.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